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eastAsia" w:ascii="宋体" w:hAnsi="宋体"/>
          <w:b/>
          <w:color w:val="auto"/>
          <w:kern w:val="0"/>
          <w:sz w:val="44"/>
          <w:szCs w:val="44"/>
        </w:rPr>
      </w:pPr>
      <w:bookmarkStart w:id="0" w:name="_GoBack"/>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托克逊县伊拉湖镇中心卫生院2024年单位预算公开</w:t>
      </w: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line="500" w:lineRule="exact"/>
        <w:jc w:val="center"/>
        <w:outlineLvl w:val="1"/>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hint="eastAsia" w:ascii="宋体" w:hAnsi="宋体"/>
          <w:b/>
          <w:color w:val="auto"/>
          <w:kern w:val="0"/>
          <w:sz w:val="44"/>
          <w:szCs w:val="44"/>
        </w:rPr>
      </w:pP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一、关于托克逊县伊拉湖镇中心卫生院单位2024年收支预算情况的总体说明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二、关于托克逊县伊拉湖镇中心卫生院单位2024年收入预算情况说明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三、关于托克逊县伊拉湖镇中心卫生院单位2024年支出预算情况说明</w:t>
      </w:r>
    </w:p>
    <w:p>
      <w:pPr>
        <w:widowControl/>
        <w:spacing w:line="600" w:lineRule="exact"/>
        <w:ind w:firstLine="640" w:firstLineChars="200"/>
        <w:outlineLvl w:val="1"/>
        <w:rPr>
          <w:rFonts w:hint="eastAsia"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四、关于托克逊县伊拉湖镇中心卫生院单位2024年财政拨款收支预算情况的总体说明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五、关于托克逊县伊拉湖镇中心卫生院单位2024年一般公共预算当年拨款情况说明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六、关于托克逊县伊拉湖镇中心卫生院单位2024年一般公共预算基本支出情况说明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七、关于托克逊县伊拉湖镇中心卫生院单位2024年一般公共预算项目支出情况说明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八、关于托克逊县伊拉湖镇中心卫生院单位2024年政府性基金预算拨款情况说明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九、关于托克逊县伊拉湖镇中心卫生院单位2024年国有资本经营预算拨款情况说明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十、关于托克逊县伊拉湖镇中心卫生院单位2024年财政拨款“三公”经费预算情况说明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十一、关于托克逊县伊拉湖镇中心卫生院单位2024年上年结转结余预算情况说明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hint="eastAsia"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hint="eastAsia" w:ascii="宋体" w:hAnsi="宋体"/>
          <w:b/>
          <w:color w:val="auto"/>
          <w:kern w:val="0"/>
          <w:sz w:val="32"/>
          <w:szCs w:val="32"/>
        </w:rPr>
      </w:pP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hint="eastAsia"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1.承担本镇农村居民健康档案规范建档指导、管理及服务。</w:t>
      </w:r>
    </w:p>
    <w:p>
      <w:pPr>
        <w:widowControl/>
        <w:spacing w:line="540" w:lineRule="exact"/>
        <w:ind w:firstLine="640" w:firstLineChars="200"/>
        <w:jc w:val="left"/>
        <w:rPr>
          <w:rFonts w:hint="eastAsia"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2.普及卫生保健常识，指导开展爱国卫生工作。</w:t>
      </w:r>
    </w:p>
    <w:p>
      <w:pPr>
        <w:widowControl/>
        <w:spacing w:line="540" w:lineRule="exact"/>
        <w:ind w:firstLine="640" w:firstLineChars="200"/>
        <w:jc w:val="left"/>
        <w:rPr>
          <w:rFonts w:hint="eastAsia"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3.提供并组织实施本乡预防接种服务，落实国家免疫规划。</w:t>
      </w:r>
    </w:p>
    <w:p>
      <w:pPr>
        <w:widowControl/>
        <w:spacing w:line="540" w:lineRule="exact"/>
        <w:ind w:firstLine="640" w:firstLineChars="200"/>
        <w:jc w:val="left"/>
        <w:rPr>
          <w:rFonts w:hint="eastAsia"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4.及时发现、登记并报告本乡内发现的传染病病例和疑似病例，参与现场疫情处理。</w:t>
      </w:r>
    </w:p>
    <w:p>
      <w:pPr>
        <w:widowControl/>
        <w:spacing w:line="540" w:lineRule="exact"/>
        <w:ind w:firstLine="640" w:firstLineChars="200"/>
        <w:jc w:val="left"/>
        <w:rPr>
          <w:rFonts w:hint="eastAsia"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5.开展新生儿访视及儿童保健系统管理，进行体格检查和生长发育监测及评价，开展健康指导。</w:t>
      </w:r>
    </w:p>
    <w:p>
      <w:pPr>
        <w:widowControl/>
        <w:spacing w:line="540" w:lineRule="exact"/>
        <w:ind w:firstLine="640" w:firstLineChars="200"/>
        <w:jc w:val="left"/>
        <w:rPr>
          <w:rFonts w:hint="eastAsia"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6.开展孕产妇保健系统管理和产后访视。</w:t>
      </w:r>
    </w:p>
    <w:p>
      <w:pPr>
        <w:widowControl/>
        <w:spacing w:line="540" w:lineRule="exact"/>
        <w:ind w:firstLine="640" w:firstLineChars="200"/>
        <w:jc w:val="left"/>
        <w:rPr>
          <w:rFonts w:hint="eastAsia"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7.对本乡65岁及以上老年人进行登记管理，进行健康危险因素调查和一般体格检查，开展健康指导。</w:t>
      </w:r>
    </w:p>
    <w:p>
      <w:pPr>
        <w:widowControl/>
        <w:spacing w:line="540" w:lineRule="exact"/>
        <w:ind w:firstLine="640" w:firstLineChars="200"/>
        <w:jc w:val="left"/>
        <w:rPr>
          <w:rFonts w:hint="eastAsia"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8.对高血压、糖尿病等慢性病高危人群进行指导，并进行登记管理、定期随访和健康指导。</w:t>
      </w:r>
    </w:p>
    <w:p>
      <w:pPr>
        <w:widowControl/>
        <w:spacing w:line="540" w:lineRule="exact"/>
        <w:ind w:firstLine="640" w:firstLineChars="200"/>
        <w:jc w:val="left"/>
        <w:rPr>
          <w:rFonts w:hint="eastAsia"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9.对本乡重性精神疾病患者进行登记管理、治疗随访和康复指导。</w:t>
      </w:r>
    </w:p>
    <w:p>
      <w:pPr>
        <w:widowControl/>
        <w:spacing w:line="540" w:lineRule="exact"/>
        <w:ind w:firstLine="640" w:firstLineChars="200"/>
        <w:jc w:val="left"/>
        <w:rPr>
          <w:rFonts w:hint="eastAsia"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10.负责本镇内突发公共卫生事件的报告并协助处理。</w:t>
      </w:r>
    </w:p>
    <w:p>
      <w:pPr>
        <w:widowControl/>
        <w:spacing w:line="540" w:lineRule="exact"/>
        <w:ind w:firstLine="640" w:firstLineChars="200"/>
        <w:jc w:val="left"/>
        <w:rPr>
          <w:rFonts w:hint="eastAsia"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11.做好卫生行政部门规定的其他公共卫生服务。</w:t>
      </w: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托克逊县伊拉湖镇中心卫生院单位无下属预算单位，下设9个处室，分别是：办公室、门诊、住院、公卫科、功能科、妇保儿保科、防疫科、康复科、财务科</w:t>
      </w:r>
      <w:r>
        <w:rPr>
          <w:rFonts w:hint="eastAsia" w:ascii="仿宋_GB2312" w:hAnsi="宋体" w:eastAsia="仿宋_GB2312" w:cs="宋体"/>
          <w:color w:val="auto"/>
          <w:kern w:val="0"/>
          <w:sz w:val="32"/>
          <w:szCs w:val="32"/>
        </w:rPr>
        <w:t>。</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托克逊县伊拉湖镇中心卫生院单位编制数38，实有人数51人，其中：在职40人，增加0人；退休11人，增加0人；离休0人，增加0人。</w:t>
      </w:r>
    </w:p>
    <w:p>
      <w:pPr>
        <w:widowControl/>
        <w:spacing w:before="156" w:beforeLines="50"/>
        <w:jc w:val="center"/>
        <w:outlineLvl w:val="1"/>
        <w:rPr>
          <w:rFonts w:hint="eastAsia"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hint="eastAsia"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编制单位：托克逊县伊拉湖镇中心卫生院</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1376.10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805.58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789.46</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16.12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84.68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1229.94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570.52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570.52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61.48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1376.10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1376.10</w:t>
            </w:r>
          </w:p>
        </w:tc>
      </w:tr>
    </w:tbl>
    <w:p>
      <w:pPr>
        <w:widowControl/>
        <w:jc w:val="left"/>
        <w:outlineLvl w:val="1"/>
        <w:rPr>
          <w:rFonts w:hint="eastAsia"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hint="eastAsia"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编制单位：托克逊县伊拉湖镇中心卫生院</w:t>
            </w:r>
          </w:p>
        </w:tc>
        <w:tc>
          <w:tcPr>
            <w:tcW w:w="3889"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84.68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84.68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84.68</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84.68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84.68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84.68</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7.28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7.28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7.28</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77.40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77.40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77.40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1229.94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659.42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643.30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16.12</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570.52</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基层医疗卫生机构</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1099.02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528.50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528.50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570.52</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乡镇卫生院</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1099.02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528.50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528.50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570.52</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88.12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88.12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72.00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16.12</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08</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基本公共卫生服务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28.00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28.00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13.00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15.00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09</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1.12</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59.00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59.00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59.00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32.80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32.80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32.80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32.80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32.80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32.80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17</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中医药事务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17</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中医（民族医）药专项</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61.48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61.48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61.48</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61.48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61.48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61.48</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61.48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61.48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61.48</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1376.10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805.58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789.46</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16.12</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570.52</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bl>
    <w:p>
      <w:pPr>
        <w:widowControl/>
        <w:jc w:val="left"/>
        <w:outlineLvl w:val="1"/>
        <w:rPr>
          <w:rFonts w:hint="eastAsia"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21"/>
        <w:gridCol w:w="1765"/>
        <w:gridCol w:w="1757"/>
        <w:gridCol w:w="177"/>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eastAsia="仿宋_GB2312"/>
                <w:color w:val="auto"/>
                <w:sz w:val="24"/>
              </w:rPr>
              <w:t>编制单位：托克逊县伊拉湖镇中心卫生院</w:t>
            </w:r>
          </w:p>
        </w:tc>
        <w:tc>
          <w:tcPr>
            <w:tcW w:w="130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84.68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84.68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84.68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84.68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7.28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7.28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77.40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77.40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1229.94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561.30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668.64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基层医疗卫生机构</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1099.02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528.50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570.52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乡镇卫生院</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1099.02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528.50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570.52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88.12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88.12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基本公共卫生服务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28.00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28.00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其他公共卫生支出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59.00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59.00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32.80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32.80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32.80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32.80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中医药事务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17</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中医（民族医）药专项</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61.48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61.48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61.48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61.48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61.48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61.48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1376.10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707.46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668.64</w:t>
            </w:r>
          </w:p>
        </w:tc>
      </w:tr>
    </w:tbl>
    <w:p>
      <w:pPr>
        <w:widowControl/>
        <w:spacing w:before="120" w:beforeLines="50"/>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编制单位：托克逊县伊拉湖镇中心卫生院</w:t>
            </w:r>
          </w:p>
        </w:tc>
        <w:tc>
          <w:tcPr>
            <w:tcW w:w="1808" w:type="dxa"/>
            <w:gridSpan w:val="3"/>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805.58</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805.58</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84.68</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84.68</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659.42</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659.42</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61.48</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61.48</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805.58</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805.58</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805.58</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hint="eastAsia"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编制单位：托克逊县伊拉湖镇中心卫生院</w:t>
            </w:r>
          </w:p>
        </w:tc>
        <w:tc>
          <w:tcPr>
            <w:tcW w:w="1307"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84.68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84.68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84.68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84.68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7.28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7.28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77.40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77.40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659.42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561.30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98.12</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基层医疗卫生机构</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528.50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528.50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乡镇卫生院</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528.50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528.50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88.12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88.12</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基本公共卫生服务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28.00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28.00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重大公共卫生服务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1.12</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其他公共卫生支出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59.00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59.00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32.80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32.80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32.80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32.80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中医药事务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17</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中医（民族医）药专项</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61.48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61.48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61.48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61.48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61.48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61.48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805.58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707.46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98.12</w:t>
            </w: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编制单位：托克逊县伊拉湖镇中心卫生院</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690.24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690.24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194.77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194.77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100.74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100.74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123.50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123.50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96.16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96.16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77.40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77.40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32.80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32.80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3.39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3.39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61.48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61.48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9.35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9.35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9.35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9.35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7.87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7.87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7.28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7.28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707.46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698.11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9.35</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hint="eastAsia"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编制单位：托克逊县伊拉湖镇中心卫生院</w:t>
            </w:r>
          </w:p>
        </w:tc>
        <w:tc>
          <w:tcPr>
            <w:tcW w:w="272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98.12</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98.12</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04</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公共卫生</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88.12</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88.12</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2024年基本公共卫生服务县级配套补助资金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13.00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13.00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吐市财社[2023]97号、2024年自治区提前下达基本公共卫生服务补助资金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15.00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15.00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*001</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1.12</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1.12</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其他公共卫生支出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2024年全民健康体检县级补助资金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59.00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59.00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17</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中医药事务</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17</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中医（民族医）药专项</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2024年县级中药传承发展补助资金（县级配套）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p>
        </w:tc>
        <w:tc>
          <w:tcPr>
            <w:tcW w:w="2170"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98.12</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98.12</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bl>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编制单位：托克逊县伊拉湖镇中心卫生院</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备注：托克逊县伊拉湖镇中心卫生院2024年没有使用政府性基金预算拨款安排的支出，政府性基金预算支出情况表为空表。</w:t>
      </w: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编制单位：托克逊县伊拉湖镇中心卫生院</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备注：托克逊县伊拉湖镇中心卫生院2024年没有使用国有资本经营预算拨款安排的支出，国有资本经营预算支出情况表为空表。</w:t>
      </w:r>
    </w:p>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编制单位：托克逊县伊拉湖镇中心卫生院</w:t>
            </w:r>
          </w:p>
        </w:tc>
        <w:tc>
          <w:tcPr>
            <w:tcW w:w="1312"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备注：托克逊县伊拉湖镇中心卫生院2024年未安排三公经费预算，三公经费支出情况表为空表。</w:t>
      </w:r>
    </w:p>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编制单位：托克逊县伊拉湖镇中心卫生院</w:t>
            </w:r>
          </w:p>
        </w:tc>
        <w:tc>
          <w:tcPr>
            <w:tcW w:w="2000" w:type="dxa"/>
            <w:gridSpan w:val="2"/>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13"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p>
        </w:tc>
        <w:tc>
          <w:tcPr>
            <w:tcW w:w="850" w:type="dxa"/>
            <w:vAlign w:val="center"/>
          </w:tcPr>
          <w:p>
            <w:pPr>
              <w:spacing w:line="600" w:lineRule="exact"/>
              <w:jc w:val="center"/>
              <w:rPr>
                <w:rFonts w:hint="eastAsia" w:ascii="仿宋" w:hAnsi="仿宋" w:eastAsia="仿宋" w:cs="仿宋_GB2312"/>
                <w:bCs/>
                <w:color w:val="auto"/>
                <w:kern w:val="0"/>
                <w:sz w:val="18"/>
                <w:szCs w:val="18"/>
              </w:rPr>
            </w:pPr>
          </w:p>
        </w:tc>
        <w:tc>
          <w:tcPr>
            <w:tcW w:w="1054" w:type="dxa"/>
            <w:vAlign w:val="center"/>
          </w:tcPr>
          <w:p>
            <w:pPr>
              <w:spacing w:line="600" w:lineRule="exact"/>
              <w:jc w:val="center"/>
              <w:rPr>
                <w:rFonts w:hint="eastAsia" w:ascii="仿宋" w:hAnsi="仿宋" w:eastAsia="仿宋" w:cs="仿宋_GB2312"/>
                <w:bCs/>
                <w:color w:val="auto"/>
                <w:kern w:val="0"/>
                <w:sz w:val="18"/>
                <w:szCs w:val="18"/>
              </w:rPr>
            </w:pP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p>
        </w:tc>
        <w:tc>
          <w:tcPr>
            <w:tcW w:w="850" w:type="dxa"/>
            <w:vAlign w:val="center"/>
          </w:tcPr>
          <w:p>
            <w:pPr>
              <w:spacing w:line="600" w:lineRule="exact"/>
              <w:jc w:val="center"/>
              <w:rPr>
                <w:rFonts w:hint="eastAsia" w:ascii="仿宋" w:hAnsi="仿宋" w:eastAsia="仿宋" w:cs="仿宋_GB2312"/>
                <w:bCs/>
                <w:color w:val="auto"/>
                <w:kern w:val="0"/>
                <w:sz w:val="18"/>
                <w:szCs w:val="18"/>
              </w:rPr>
            </w:pPr>
          </w:p>
        </w:tc>
        <w:tc>
          <w:tcPr>
            <w:tcW w:w="1054" w:type="dxa"/>
            <w:vAlign w:val="center"/>
          </w:tcPr>
          <w:p>
            <w:pPr>
              <w:spacing w:line="600" w:lineRule="exact"/>
              <w:jc w:val="center"/>
              <w:rPr>
                <w:rFonts w:hint="eastAsia" w:ascii="仿宋" w:hAnsi="仿宋" w:eastAsia="仿宋" w:cs="仿宋_GB2312"/>
                <w:bCs/>
                <w:color w:val="auto"/>
                <w:kern w:val="0"/>
                <w:sz w:val="18"/>
                <w:szCs w:val="18"/>
              </w:rPr>
            </w:pP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p>
        </w:tc>
        <w:tc>
          <w:tcPr>
            <w:tcW w:w="850" w:type="dxa"/>
            <w:vAlign w:val="center"/>
          </w:tcPr>
          <w:p>
            <w:pPr>
              <w:spacing w:line="600" w:lineRule="exact"/>
              <w:jc w:val="center"/>
              <w:rPr>
                <w:rFonts w:hint="eastAsia" w:ascii="仿宋" w:hAnsi="仿宋" w:eastAsia="仿宋" w:cs="仿宋_GB2312"/>
                <w:bCs/>
                <w:color w:val="auto"/>
                <w:kern w:val="0"/>
                <w:sz w:val="18"/>
                <w:szCs w:val="18"/>
              </w:rPr>
            </w:pPr>
          </w:p>
        </w:tc>
        <w:tc>
          <w:tcPr>
            <w:tcW w:w="1054" w:type="dxa"/>
            <w:vAlign w:val="center"/>
          </w:tcPr>
          <w:p>
            <w:pPr>
              <w:spacing w:line="600" w:lineRule="exact"/>
              <w:jc w:val="center"/>
              <w:rPr>
                <w:rFonts w:hint="eastAsia" w:ascii="仿宋" w:hAnsi="仿宋" w:eastAsia="仿宋" w:cs="仿宋_GB2312"/>
                <w:bCs/>
                <w:color w:val="auto"/>
                <w:kern w:val="0"/>
                <w:sz w:val="18"/>
                <w:szCs w:val="18"/>
              </w:rPr>
            </w:pP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备注：托克逊县伊拉湖镇中心卫生院2024年无上年结转结余预算的支出，结转结余预算支出情况表为空表。</w:t>
      </w:r>
    </w:p>
    <w:p>
      <w:pPr>
        <w:widowControl/>
        <w:jc w:val="left"/>
        <w:outlineLvl w:val="1"/>
        <w:rPr>
          <w:rFonts w:hint="eastAsia"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hint="eastAsia"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hint="eastAsia" w:ascii="楷体_GB2312" w:hAnsi="楷体_GB2312" w:eastAsia="楷体_GB2312"/>
          <w:color w:val="auto"/>
          <w:kern w:val="0"/>
          <w:sz w:val="32"/>
          <w:szCs w:val="32"/>
        </w:rPr>
      </w:pP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关于托克逊县伊拉湖镇中心卫生院单位2024年收支预算情况的总体说明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按照全口径预算的原则，托克逊县伊拉湖镇中心卫生院单位2024年所有收入和支出均纳入单位预算管理。收支总预算1376.10万元。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二、关于托克逊县伊拉湖镇中心卫生院单位2024年收入预算情况说明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托克逊县伊拉湖镇中心卫生院单位收入预算1376.10万元，其中：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一般公共预算789.46万元，占57.37%，比上年预算增加94.25万元，增长13.56%，主要原因是在职人员晋升、增资、工资、住房公积金及社保基数提高，导致预算比去年有所增加；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上级一般公共预算安排的转移支付16.12万元，占1.17%，比上年预算增加16.12万元，增长100.00%，主要原因是</w:t>
      </w:r>
      <w:r>
        <w:rPr>
          <w:rFonts w:hint="eastAsia" w:ascii="仿宋_GB2312" w:hAnsi="宋体" w:eastAsia="仿宋_GB2312" w:cs="宋体"/>
          <w:color w:val="auto"/>
          <w:kern w:val="0"/>
          <w:sz w:val="32"/>
          <w:szCs w:val="32"/>
          <w:lang w:val="en-US" w:eastAsia="zh-CN"/>
        </w:rPr>
        <w:t>新增</w:t>
      </w:r>
      <w:r>
        <w:rPr>
          <w:rFonts w:hint="eastAsia" w:ascii="仿宋_GB2312" w:hAnsi="宋体" w:eastAsia="仿宋_GB2312" w:cs="宋体"/>
          <w:color w:val="auto"/>
          <w:kern w:val="0"/>
          <w:sz w:val="32"/>
          <w:szCs w:val="32"/>
        </w:rPr>
        <w:t>2024年自治区提前下达基本公共卫生服务补助资金、2024年中央重大传染病防控经费；</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单位资金570.52万元，占41.46%，比上年预算增加213.79万元，增长59.93%，主要原因是医疗收入增加,因此单位资金比上年预算增加213.79万元，增长59.93%；</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财政拨款结转0.00万元，占0.00%，比上年预算减少3.40万元，下降100.00%，主要原因是本年无财政拨款结转资金；</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三、关于托克逊县伊拉湖镇中心卫生院单位2024年支出预算情况说明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托克逊县伊拉湖镇中心卫生院单位2024年支出预算1376.10万元，其中：</w:t>
      </w:r>
    </w:p>
    <w:p>
      <w:pPr>
        <w:spacing w:line="560" w:lineRule="exact"/>
        <w:ind w:firstLine="640" w:firstLineChars="200"/>
        <w:rPr>
          <w:rFonts w:hint="eastAsia"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基本支出707.46万元，占51.41%，比上年预算增加12.25万元，增长1.76%，主要原因是在职人员晋升、增资、工资、住房公积金及社保基数提高，导致预算比去年有所增加。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项目支出668.64万元，占48.59%，比上年预算增加308.51万元，增长85.67%，主要原因是2024年单位资金</w:t>
      </w:r>
      <w:r>
        <w:rPr>
          <w:rFonts w:hint="eastAsia" w:ascii="仿宋_GB2312" w:hAnsi="宋体" w:eastAsia="仿宋_GB2312" w:cs="宋体"/>
          <w:color w:val="auto"/>
          <w:kern w:val="0"/>
          <w:sz w:val="32"/>
          <w:szCs w:val="32"/>
          <w:lang w:val="en-US" w:eastAsia="zh-CN"/>
        </w:rPr>
        <w:t>项目</w:t>
      </w:r>
      <w:r>
        <w:rPr>
          <w:rFonts w:hint="eastAsia" w:ascii="仿宋_GB2312" w:hAnsi="宋体" w:eastAsia="仿宋_GB2312" w:cs="宋体"/>
          <w:color w:val="auto"/>
          <w:kern w:val="0"/>
          <w:sz w:val="32"/>
          <w:szCs w:val="32"/>
          <w:lang w:eastAsia="zh-CN"/>
        </w:rPr>
        <w:t>（办公设备购置、维修(护)费、专用设备购置）</w:t>
      </w:r>
      <w:r>
        <w:rPr>
          <w:rFonts w:hint="eastAsia" w:ascii="仿宋_GB2312" w:hAnsi="宋体" w:eastAsia="仿宋_GB2312" w:cs="宋体"/>
          <w:color w:val="auto"/>
          <w:kern w:val="0"/>
          <w:sz w:val="32"/>
          <w:szCs w:val="32"/>
        </w:rPr>
        <w:t>比去年有所增加。</w:t>
      </w:r>
    </w:p>
    <w:p>
      <w:pPr>
        <w:spacing w:line="560" w:lineRule="exact"/>
        <w:ind w:firstLine="643" w:firstLineChars="200"/>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四、关于托克逊县伊拉湖镇中心卫生院单位2024年财政拨款收支预算情况的总体说明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2024年财政拨款收支总预算805.58万元。</w:t>
      </w:r>
    </w:p>
    <w:p>
      <w:pPr>
        <w:spacing w:line="560" w:lineRule="exact"/>
        <w:ind w:firstLine="616" w:firstLineChars="200"/>
        <w:rPr>
          <w:rFonts w:hint="eastAsia"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收入预算包括：一般公共预算拨款805.58万元。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84.68万元，主要用于单位人员社保缴费支出;卫生健康支出659.42万元，主要用于保障单位正常运行的人员经费、公用经费支出及单位人员医疗保险缴费支出;住房保障支出61.48万元，主要用于单位人员住房公积金缴费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五、关于托克逊县伊拉湖镇中心卫生院单位2024年一般公共预算当年拨款情况说明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托克逊县伊拉湖镇中心卫生院单位2024年一般公共预算拨款合计805.58万元，其中：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基本支出707.46万元，比上年预算增加12.25万元，增长1.76%。主要原因是：在职人员晋升、增资、工资、住房公积金及社保基数提高，导致预算比去年有所增加。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项目支出98.12万元，比上年预算增加98.12万元，增长100.00%。主要原因是：2024年增加全民体检补助资金，重大传染病补助资金，基本公共卫生补助资金等项目，导致项目支出预算比上年有所增加。</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1.社会保障和就业支出（类）84.68万元，占10.51%。</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2.卫生健康支出（类）659.42万元，占81.86%。</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3.住房保障支出（类）61.48万元，占7.63%。</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事业单位离退休（项）：2024年预算数为7.28万元，比上年预算减少0.28万元，下降3.70%，主要原因是：2024年事业单位离退休政策调整，退休人员医疗费不在安排预算，因此事业单位离退休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77.40万元，比上年预算增加4.19万元，增长5.72%，主要原因是：2024年在职人员晋升、增资，因此事业人员基本养老保险缴费基数标准提高，预算比上年有所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3.卫生健康支出（类）基层医疗卫生机构（款）乡镇卫生院（项）：2024年预算数为528.50万元，比上年预算增加39.61万元，增长8.10%，主要原因是：2024年在职人员晋升、</w:t>
      </w:r>
      <w:r>
        <w:rPr>
          <w:rFonts w:hint="eastAsia" w:ascii="仿宋_GB2312" w:hAnsi="宋体" w:eastAsia="仿宋_GB2312" w:cs="宋体"/>
          <w:color w:val="auto"/>
          <w:kern w:val="0"/>
          <w:sz w:val="32"/>
          <w:szCs w:val="32"/>
          <w:lang w:val="en-US" w:eastAsia="zh-CN"/>
        </w:rPr>
        <w:t>工资、公用经费增加</w:t>
      </w:r>
      <w:r>
        <w:rPr>
          <w:rFonts w:hint="eastAsia" w:ascii="仿宋_GB2312" w:hAnsi="宋体" w:eastAsia="仿宋_GB2312" w:cs="宋体"/>
          <w:color w:val="auto"/>
          <w:kern w:val="0"/>
          <w:sz w:val="32"/>
          <w:szCs w:val="32"/>
        </w:rPr>
        <w:t>，导致预算比去年有所增加。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4.卫生健康支出（类）公共卫生（款）基本公共卫生服务（项）：2024年预算数为28.00万元，比上年预算增加28.00万元，增长100.00%，主要原因是：</w:t>
      </w:r>
      <w:r>
        <w:rPr>
          <w:rFonts w:hint="eastAsia" w:ascii="仿宋_GB2312" w:hAnsi="宋体" w:eastAsia="仿宋_GB2312" w:cs="宋体"/>
          <w:color w:val="auto"/>
          <w:kern w:val="0"/>
          <w:sz w:val="32"/>
          <w:szCs w:val="32"/>
          <w:lang w:val="en-US" w:eastAsia="zh-CN"/>
        </w:rPr>
        <w:t>新增</w:t>
      </w:r>
      <w:r>
        <w:rPr>
          <w:rFonts w:hint="eastAsia" w:ascii="仿宋_GB2312" w:hAnsi="宋体" w:eastAsia="仿宋_GB2312" w:cs="宋体"/>
          <w:color w:val="auto"/>
          <w:kern w:val="0"/>
          <w:sz w:val="32"/>
          <w:szCs w:val="32"/>
        </w:rPr>
        <w:t>2024年自治区提前下达基本公共卫生服务补助资金，因此2024年基本公共卫生项目预算比上年预算增加。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公共卫生（款）重大公共卫生服务（项）：2024年预算数为1.12万元，比上年预算增加1.12万元，增长100.00%，主要原因是：2024年增加中央重大传染病防控经费，因此2024年重大公共卫生项目支出预算比上年预算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卫生健康支出（类）公共卫生（款）其他公共卫生支出（项）：2024年预算数为59.00万元，比上年预算增加59.00万元，增长100.00%，主要原因是：2024年增加全民健康体检县级补助资金，因此2024年其他公共卫生项目支出预算比上年预算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卫生健康支出（类）行政事业单位医疗（款）事业单位医疗（项）：2024年预算数为32.80万元，比上年预算增加1.78万元，增长5.74%，主要原因是：2024年事业人员工资调增，基本医疗保险缴费基数标准提高，导致预算比上年有所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卫生健康支出（类）中医药事务（款）中医（民族医）药专项（项）：2024年预算数为10.00万元，比上年预算增加10.00万元，增长100.00%，主要原因是：2024年增加县级中药传承发展补助资金，因此2024年中医（民族医）药专项支出预算比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住房保障支出（类）住房改革支出（款）住房公积金（项）：2024年预算数为61.48万元，比上年预算增加3.55万元，增长6.13%，主要原因是：2024年事业人员工资调增，因此住房公积金基数标准提高，导致预算比上年有所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10.社会保障和就业支出（类）行政事业单位养老支出（款）机关事业单位职业年金缴费支出（项）：2024年预算数为0.00万元，比上年预算减少36.60万元，下降100.00%，主要原因是：本年度职业年金预算由政府（财政）预算代列，导致本单位该项未安排预算。</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六、关于托克逊县伊拉湖镇中心卫生院单位2024年一般公共预算基本支出情况说明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托克逊县伊拉湖镇中心卫生院单位2024年一般公共预算基本支出707.46万元，其中：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人员经费698.11万元，主要包括：基本工资、津贴补贴、奖金、绩效工资、机关事业单位基本养老保险缴费、职工基本医疗保险缴费、其他社会保障缴费、住房公积金、退休费、生活补助。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公用经费9.35万元，主要包括：工会经费。</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七、关于托克逊县伊拉湖镇中心卫生院单位2024年一般公共预算项目支出情况说明</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（一）项目名称：2024年基本公共卫生服务县级配套补助资金</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设立的政策依据：《关于做好2023年基本公共卫生服务工作的通知》（新卫基层卫生函[2023]32号）文件</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预算安排规模：13.00万元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项目承担单位：托克逊县伊拉湖镇中心卫生院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资金分配情况：印刷费1.5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万，其他交通费用0.3</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万，劳务费6.7</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万，办公费3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万，其他商品和服务支出1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万，邮电费0.5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（二）项目名称：吐市财社[2023]97号、2024年自治区提前下达基本公共卫生服务补助资金</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设立的政策依据：《关于做好2023年基本公共卫生服务工作的通知》（新卫基层卫生函[2023]32号）文件</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预算安排规模：15.00万元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项目承担单位：托克逊县伊拉湖镇中心卫生院</w:t>
      </w:r>
    </w:p>
    <w:p>
      <w:pPr>
        <w:widowControl w:val="0"/>
        <w:spacing w:line="560" w:lineRule="exact"/>
        <w:ind w:firstLine="640" w:firstLineChars="200"/>
        <w:jc w:val="both"/>
        <w:rPr>
          <w:rFonts w:hint="eastAsia" w:ascii="仿宋_GB2312" w:hAnsi="黑体" w:eastAsia="仿宋_GB2312"/>
          <w:color w:val="auto"/>
          <w:sz w:val="32"/>
          <w:szCs w:val="32"/>
          <w:lang w:eastAsia="zh-CN"/>
        </w:rPr>
      </w:pPr>
      <w:r>
        <w:rPr>
          <w:rFonts w:ascii="仿宋_GB2312" w:hAnsi="黑体" w:eastAsia="仿宋_GB2312"/>
          <w:color w:val="auto"/>
          <w:sz w:val="32"/>
          <w:szCs w:val="32"/>
        </w:rPr>
        <w:t>资金分配情况：劳务费7</w:t>
      </w:r>
      <w:r>
        <w:rPr>
          <w:rFonts w:hint="eastAsia" w:ascii="仿宋_GB2312" w:hAnsi="黑体" w:eastAsia="仿宋_GB2312"/>
          <w:color w:val="auto"/>
          <w:sz w:val="32"/>
          <w:szCs w:val="32"/>
          <w:lang w:val="en-US" w:eastAsia="zh-CN"/>
        </w:rPr>
        <w:t>万</w:t>
      </w:r>
      <w:r>
        <w:rPr>
          <w:rFonts w:ascii="仿宋_GB2312" w:hAnsi="黑体" w:eastAsia="仿宋_GB2312"/>
          <w:color w:val="auto"/>
          <w:sz w:val="32"/>
          <w:szCs w:val="32"/>
        </w:rPr>
        <w:t>元，专用材料3</w:t>
      </w:r>
      <w:r>
        <w:rPr>
          <w:rFonts w:hint="eastAsia" w:ascii="仿宋_GB2312" w:hAnsi="黑体" w:eastAsia="仿宋_GB2312"/>
          <w:color w:val="auto"/>
          <w:sz w:val="32"/>
          <w:szCs w:val="32"/>
          <w:lang w:val="en-US" w:eastAsia="zh-CN"/>
        </w:rPr>
        <w:t>万</w:t>
      </w:r>
      <w:r>
        <w:rPr>
          <w:rFonts w:ascii="仿宋_GB2312" w:hAnsi="黑体" w:eastAsia="仿宋_GB2312"/>
          <w:color w:val="auto"/>
          <w:sz w:val="32"/>
          <w:szCs w:val="32"/>
        </w:rPr>
        <w:t>元，其他交通费</w:t>
      </w:r>
      <w:r>
        <w:rPr>
          <w:rFonts w:hint="eastAsia" w:ascii="仿宋_GB2312" w:hAnsi="黑体" w:eastAsia="仿宋_GB2312"/>
          <w:color w:val="auto"/>
          <w:sz w:val="32"/>
          <w:szCs w:val="32"/>
          <w:lang w:val="en-US" w:eastAsia="zh-CN"/>
        </w:rPr>
        <w:t>0.5万</w:t>
      </w:r>
      <w:r>
        <w:rPr>
          <w:rFonts w:ascii="仿宋_GB2312" w:hAnsi="黑体" w:eastAsia="仿宋_GB2312"/>
          <w:color w:val="auto"/>
          <w:sz w:val="32"/>
          <w:szCs w:val="32"/>
        </w:rPr>
        <w:t>元</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维修费</w:t>
      </w:r>
      <w:r>
        <w:rPr>
          <w:rFonts w:hint="eastAsia" w:ascii="仿宋_GB2312" w:hAnsi="黑体" w:eastAsia="仿宋_GB2312"/>
          <w:color w:val="auto"/>
          <w:sz w:val="32"/>
          <w:szCs w:val="32"/>
          <w:lang w:val="en-US" w:eastAsia="zh-CN"/>
        </w:rPr>
        <w:t>2万</w:t>
      </w:r>
      <w:r>
        <w:rPr>
          <w:rFonts w:ascii="仿宋_GB2312" w:hAnsi="黑体" w:eastAsia="仿宋_GB2312"/>
          <w:color w:val="auto"/>
          <w:sz w:val="32"/>
          <w:szCs w:val="32"/>
        </w:rPr>
        <w:t>元</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办公费</w:t>
      </w:r>
      <w:r>
        <w:rPr>
          <w:rFonts w:hint="eastAsia" w:ascii="仿宋_GB2312" w:hAnsi="黑体" w:eastAsia="仿宋_GB2312"/>
          <w:color w:val="auto"/>
          <w:sz w:val="32"/>
          <w:szCs w:val="32"/>
          <w:lang w:val="en-US" w:eastAsia="zh-CN"/>
        </w:rPr>
        <w:t>1.5</w:t>
      </w:r>
      <w:r>
        <w:rPr>
          <w:rFonts w:ascii="仿宋_GB2312" w:hAnsi="黑体" w:eastAsia="仿宋_GB2312"/>
          <w:color w:val="auto"/>
          <w:sz w:val="32"/>
          <w:szCs w:val="32"/>
        </w:rPr>
        <w:t>元，印刷费</w:t>
      </w:r>
      <w:r>
        <w:rPr>
          <w:rFonts w:hint="eastAsia" w:ascii="仿宋_GB2312" w:hAnsi="黑体" w:eastAsia="仿宋_GB2312"/>
          <w:color w:val="auto"/>
          <w:sz w:val="32"/>
          <w:szCs w:val="32"/>
          <w:lang w:val="en-US" w:eastAsia="zh-CN"/>
        </w:rPr>
        <w:t>1万</w:t>
      </w:r>
      <w:r>
        <w:rPr>
          <w:rFonts w:ascii="仿宋_GB2312" w:hAnsi="黑体" w:eastAsia="仿宋_GB2312"/>
          <w:color w:val="auto"/>
          <w:sz w:val="32"/>
          <w:szCs w:val="32"/>
        </w:rPr>
        <w:t>元</w:t>
      </w:r>
      <w:r>
        <w:rPr>
          <w:rFonts w:hint="eastAsia" w:ascii="仿宋_GB2312" w:hAnsi="黑体" w:eastAsia="仿宋_GB2312"/>
          <w:color w:val="auto"/>
          <w:sz w:val="32"/>
          <w:szCs w:val="32"/>
          <w:lang w:eastAsia="zh-CN"/>
        </w:rPr>
        <w:t>。</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（三）项目名称：</w:t>
      </w:r>
      <w:r>
        <w:rPr>
          <w:rFonts w:hint="eastAsia" w:ascii="仿宋_GB2312" w:hAnsi="黑体" w:eastAsia="仿宋_GB2312"/>
          <w:color w:val="auto"/>
          <w:sz w:val="32"/>
          <w:szCs w:val="32"/>
        </w:rPr>
        <w:t>*001</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w:t>
      </w:r>
      <w:r>
        <w:rPr>
          <w:rFonts w:hint="eastAsia" w:ascii="仿宋_GB2312" w:hAnsi="黑体" w:eastAsia="仿宋_GB2312"/>
          <w:color w:val="auto"/>
          <w:sz w:val="32"/>
          <w:szCs w:val="32"/>
        </w:rPr>
        <w:t>根据相关政策文件要求，本项目内容完全不予公开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预算安排规模：1.12万元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项目承担单位：托克逊县伊拉湖镇中心卫生院</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w:t>
      </w:r>
      <w:r>
        <w:rPr>
          <w:rFonts w:hint="eastAsia" w:ascii="仿宋_GB2312" w:hAnsi="黑体" w:eastAsia="仿宋_GB2312"/>
          <w:color w:val="auto"/>
          <w:sz w:val="32"/>
          <w:szCs w:val="32"/>
        </w:rPr>
        <w:t>完全不予公开</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w:t>
      </w:r>
      <w:r>
        <w:rPr>
          <w:rFonts w:hint="eastAsia" w:ascii="仿宋_GB2312" w:hAnsi="黑体" w:eastAsia="仿宋_GB2312"/>
          <w:color w:val="auto"/>
          <w:sz w:val="32"/>
          <w:szCs w:val="32"/>
        </w:rPr>
        <w:t>完全不予公开</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（四）项目名称：2024年全民健康体检县级补助资金</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设立的政策依据：《关于做好2023年全民健康体检工作的通知》（新卫基层卫生发[2023]1号)文件</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预算安排规模：59.00万元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项目承担单位：托克逊县伊拉湖镇中心卫生院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资金分配情况：电费6</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印刷费3.5</w:t>
      </w:r>
      <w:r>
        <w:rPr>
          <w:rFonts w:hint="eastAsia" w:ascii="仿宋_GB2312" w:hAnsi="黑体" w:eastAsia="仿宋_GB2312"/>
          <w:color w:val="auto"/>
          <w:sz w:val="32"/>
          <w:szCs w:val="32"/>
          <w:lang w:val="en-US" w:eastAsia="zh-CN"/>
        </w:rPr>
        <w:t>1</w:t>
      </w:r>
      <w:r>
        <w:rPr>
          <w:rFonts w:ascii="仿宋_GB2312" w:hAnsi="黑体" w:eastAsia="仿宋_GB2312"/>
          <w:color w:val="auto"/>
          <w:sz w:val="32"/>
          <w:szCs w:val="32"/>
        </w:rPr>
        <w:t>万</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其他商品和服务支出0.5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维修(护)费2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办公费5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专用材料费8</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邮电费4.19万</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劳务费29.80资金</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执行时间：2024年1月1日-2024年12月31日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（五）项目名称：2024年县级中药传承发展补助资金（县级配套）</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设立的政策依据：《关于印发2023年自治区促进中医药传承创新发展绩效考核工作实施方案的通知》新卫中医药发[2023]2号</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预算安排规模：10.00万元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项目承担单位：托克逊县伊拉湖镇中心卫生院</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资金分配情况：专用材料费10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八、关于托克逊县伊拉湖镇中心卫生院单位2024年政府性基金预算拨款情况说明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托克逊县伊拉湖镇中心卫生院2024年没有使用政府性基金预算拨款安排的支出，政府性基金预算支出情况表为空表。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九、关于托克逊县伊拉湖镇中心卫生院单位2024年国有资本经营预算拨款情况说明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托克逊县伊拉湖镇中心卫生院2024年没有使用国有资本经营预算拨款安排的支出，国有资本经营预算支出情况表为空表。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十、关于托克逊县伊拉湖镇中心卫生院单位2024年财政拨款“三公”经费预算情况说明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托克逊县伊拉湖镇中心卫生院单位2024年财政拨款“三公”经费数为0.00万元，其中：因公出国（境）费0.00万元，公务用车购置费0.00万元，公务用车运行费0.00万元，公务接待费0.00万元。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2023年与2024年均未安排公务用车购置费；公务用车运行费减少0.00万元，下降0.00%，主要原因是2023年与2024年均未安排公务用车运行费；公务接待费减少0.00万元，下降0.00%，主要原因是2023年与2024年均未安排公务接待费。</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十一、关于托克逊县伊拉湖镇中心卫生院单位2024年上年结转结余预算情况说明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托克逊县伊拉湖镇中心卫生院单位2024年无上年结转结余预算的支出，结转结余预算支出情况表为空表。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托克逊县伊拉湖镇中心卫生院单位2024年的事业单位运行经费财政拨款预算9.35万元，比上年预算增加9.35万元，增长100.00%。主要原因是2023年未安排事业单位运行经费财政拨款预算，2024年</w:t>
      </w:r>
      <w:r>
        <w:rPr>
          <w:rFonts w:hint="eastAsia" w:ascii="仿宋_GB2312" w:hAnsi="宋体" w:eastAsia="仿宋_GB2312" w:cs="宋体"/>
          <w:color w:val="auto"/>
          <w:kern w:val="0"/>
          <w:sz w:val="32"/>
          <w:szCs w:val="32"/>
          <w:lang w:val="en-US" w:eastAsia="zh-CN"/>
        </w:rPr>
        <w:t>新增工会经费</w:t>
      </w:r>
      <w:r>
        <w:rPr>
          <w:rFonts w:hint="eastAsia" w:ascii="仿宋_GB2312" w:hAnsi="宋体" w:eastAsia="仿宋_GB2312" w:cs="宋体"/>
          <w:color w:val="auto"/>
          <w:kern w:val="0"/>
          <w:sz w:val="32"/>
          <w:szCs w:val="32"/>
        </w:rPr>
        <w:t>，因此比上年预算增加。</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2024年，托克逊县伊拉湖镇中心卫生院单位政府采购预算101.18万元，其中：政府采购货物预算15.02万元，政府采购工程预算0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万元，政府采购服务预算86.16万元。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仿宋_GB2312" w:eastAsia="仿宋_GB2312"/>
          <w:color w:val="auto"/>
          <w:sz w:val="32"/>
        </w:rPr>
        <w:t>2024年，托克逊县伊拉湖镇中心卫生院单位面向中小企业预留政府采购项目预算金额0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万元，小微企业预留政府采购项目预算金额0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截至2023年底，托克逊县伊拉湖镇中心卫生院单位及下属各预算单位占用使用国有资产总体情况为：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1.房屋5133.43平方米，价值917.72万元。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2.车辆0辆，价值0万元；其中：一般公务用车0辆，价值0万元；执法执勤用车0辆，价值0万元；其他车辆0辆，价值0万元。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单位价值50万元以上大型设备1台，单位价值100万元以上大型设备0台。</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1376.09</w:t>
      </w:r>
      <w:r>
        <w:rPr>
          <w:rFonts w:hint="eastAsia" w:ascii="仿宋_GB2312" w:hAnsi="宋体" w:eastAsia="仿宋_GB2312" w:cs="宋体"/>
          <w:color w:val="auto"/>
          <w:kern w:val="0"/>
          <w:sz w:val="32"/>
          <w:szCs w:val="32"/>
        </w:rPr>
        <w:t>万元；当年财政拨款项目</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个，涉及预算金额</w:t>
      </w:r>
      <w:r>
        <w:rPr>
          <w:rFonts w:ascii="仿宋_GB2312" w:hAnsi="宋体" w:eastAsia="仿宋_GB2312" w:cs="宋体"/>
          <w:color w:val="auto"/>
          <w:kern w:val="0"/>
          <w:sz w:val="32"/>
          <w:szCs w:val="32"/>
        </w:rPr>
        <w:t>98.12</w:t>
      </w:r>
      <w:r>
        <w:rPr>
          <w:rFonts w:hint="eastAsia" w:ascii="仿宋_GB2312" w:hAnsi="宋体" w:eastAsia="仿宋_GB2312" w:cs="宋体"/>
          <w:color w:val="auto"/>
          <w:kern w:val="0"/>
          <w:sz w:val="32"/>
          <w:szCs w:val="32"/>
        </w:rPr>
        <w:t>万元；当年非财政拨款项目1个，涉及预算金额</w:t>
      </w:r>
      <w:r>
        <w:rPr>
          <w:rFonts w:ascii="仿宋_GB2312" w:hAnsi="宋体" w:eastAsia="仿宋_GB2312" w:cs="宋体"/>
          <w:color w:val="auto"/>
          <w:kern w:val="0"/>
          <w:sz w:val="32"/>
          <w:szCs w:val="32"/>
        </w:rPr>
        <w:t>570.52</w:t>
      </w:r>
      <w:r>
        <w:rPr>
          <w:rFonts w:hint="eastAsia" w:ascii="仿宋_GB2312" w:hAnsi="宋体" w:eastAsia="仿宋_GB2312" w:cs="宋体"/>
          <w:color w:val="auto"/>
          <w:kern w:val="0"/>
          <w:sz w:val="32"/>
          <w:szCs w:val="32"/>
        </w:rPr>
        <w:t>万元。具体情况见下表：</w:t>
      </w:r>
    </w:p>
    <w:p>
      <w:pPr>
        <w:widowControl/>
        <w:spacing w:line="600" w:lineRule="exact"/>
        <w:rPr>
          <w:rFonts w:hint="eastAsia"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775" w:type="dxa"/>
        <w:jc w:val="center"/>
        <w:tblLayout w:type="autofit"/>
        <w:tblCellMar>
          <w:top w:w="0" w:type="dxa"/>
          <w:left w:w="108" w:type="dxa"/>
          <w:bottom w:w="0" w:type="dxa"/>
          <w:right w:w="108" w:type="dxa"/>
        </w:tblCellMar>
      </w:tblPr>
      <w:tblGrid>
        <w:gridCol w:w="979"/>
        <w:gridCol w:w="1239"/>
        <w:gridCol w:w="2557"/>
        <w:gridCol w:w="1210"/>
        <w:gridCol w:w="2390"/>
        <w:gridCol w:w="1400"/>
      </w:tblGrid>
      <w:tr>
        <w:tblPrEx>
          <w:tblCellMar>
            <w:top w:w="0" w:type="dxa"/>
            <w:left w:w="108" w:type="dxa"/>
            <w:bottom w:w="0" w:type="dxa"/>
            <w:right w:w="108" w:type="dxa"/>
          </w:tblCellMar>
        </w:tblPrEx>
        <w:trPr>
          <w:trHeight w:val="738" w:hRule="atLeast"/>
          <w:jc w:val="center"/>
        </w:trPr>
        <w:tc>
          <w:tcPr>
            <w:tcW w:w="9775" w:type="dxa"/>
            <w:gridSpan w:val="6"/>
            <w:tcBorders>
              <w:top w:val="nil"/>
              <w:left w:val="nil"/>
              <w:bottom w:val="nil"/>
              <w:right w:val="nil"/>
            </w:tcBorders>
            <w:shd w:val="clear" w:color="auto" w:fill="auto"/>
            <w:vAlign w:val="center"/>
          </w:tcPr>
          <w:p>
            <w:pPr>
              <w:widowControl/>
              <w:jc w:val="center"/>
              <w:rPr>
                <w:rFonts w:hint="eastAsia"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411" w:hRule="atLeast"/>
          <w:jc w:val="center"/>
        </w:trPr>
        <w:tc>
          <w:tcPr>
            <w:tcW w:w="9775" w:type="dxa"/>
            <w:gridSpan w:val="6"/>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544" w:hRule="atLeast"/>
          <w:jc w:val="center"/>
        </w:trPr>
        <w:tc>
          <w:tcPr>
            <w:tcW w:w="2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55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托克逊县伊拉湖镇中心卫生院</w:t>
            </w:r>
          </w:p>
        </w:tc>
      </w:tr>
      <w:tr>
        <w:tblPrEx>
          <w:tblCellMar>
            <w:top w:w="0" w:type="dxa"/>
            <w:left w:w="108" w:type="dxa"/>
            <w:bottom w:w="0" w:type="dxa"/>
            <w:right w:w="108" w:type="dxa"/>
          </w:tblCellMar>
        </w:tblPrEx>
        <w:trPr>
          <w:trHeight w:val="544" w:hRule="atLeast"/>
          <w:jc w:val="center"/>
        </w:trPr>
        <w:tc>
          <w:tcPr>
            <w:tcW w:w="221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7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古丽米热</w:t>
            </w:r>
          </w:p>
        </w:tc>
        <w:tc>
          <w:tcPr>
            <w:tcW w:w="23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20"/>
                <w:szCs w:val="20"/>
              </w:rPr>
              <w:t>联系电话：</w:t>
            </w:r>
          </w:p>
        </w:tc>
        <w:tc>
          <w:tcPr>
            <w:tcW w:w="13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18309075505</w:t>
            </w:r>
          </w:p>
        </w:tc>
      </w:tr>
      <w:tr>
        <w:tblPrEx>
          <w:tblCellMar>
            <w:top w:w="0" w:type="dxa"/>
            <w:left w:w="108" w:type="dxa"/>
            <w:bottom w:w="0" w:type="dxa"/>
            <w:right w:w="108" w:type="dxa"/>
          </w:tblCellMar>
        </w:tblPrEx>
        <w:trPr>
          <w:trHeight w:val="3115" w:hRule="atLeast"/>
          <w:jc w:val="center"/>
        </w:trPr>
        <w:tc>
          <w:tcPr>
            <w:tcW w:w="22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556"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目标1：继续保障我院开展的工作国家基本公共卫生服务、规范预防接种服务，执行国家免疫规划，及时发现、登记并报告辖区内发现的传染病病例和疑似病例。</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目标2：开展新生儿访视及儿童保健系统管理，进行体格检查和生长发育监测及评价，健康指导，提高孕产妇保健系统管理和产后访视，进行一般体格检查及孕期营养、心理等健康指导。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继续保障疾病预防、保健、残疾及功能障碍康复、全民健康教育，全民健康体检、突发公共卫生事件应急处置，计划免疫重性精神障碍患者管理，艾滋病患者管理、结核病患者管理家庭签约服务等各项工作的开展。</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目标5：健康危害因素监测与干预、健康教育与健康促进；碘缺乏病、地方性氟中毒、包虫病等地方病的监测防治，慢性病管理和慢性非传染性疾病的防治与管理。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目标6：计划重点建设中医馆，推拿、火罐、敷贴、热敷等中医适宜技术。</w:t>
            </w:r>
          </w:p>
        </w:tc>
      </w:tr>
      <w:tr>
        <w:tblPrEx>
          <w:tblCellMar>
            <w:top w:w="0" w:type="dxa"/>
            <w:left w:w="108" w:type="dxa"/>
            <w:bottom w:w="0" w:type="dxa"/>
            <w:right w:w="108" w:type="dxa"/>
          </w:tblCellMar>
        </w:tblPrEx>
        <w:trPr>
          <w:trHeight w:val="512" w:hRule="atLeast"/>
          <w:jc w:val="center"/>
        </w:trPr>
        <w:tc>
          <w:tcPr>
            <w:tcW w:w="22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7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资金来源</w:t>
            </w:r>
          </w:p>
        </w:tc>
        <w:tc>
          <w:tcPr>
            <w:tcW w:w="3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376" w:hRule="atLeast"/>
          <w:jc w:val="center"/>
        </w:trPr>
        <w:tc>
          <w:tcPr>
            <w:tcW w:w="221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55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财政资金（万元）</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上级安排</w:t>
            </w:r>
          </w:p>
        </w:tc>
        <w:tc>
          <w:tcPr>
            <w:tcW w:w="3788"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16.12</w:t>
            </w:r>
          </w:p>
        </w:tc>
      </w:tr>
      <w:tr>
        <w:tblPrEx>
          <w:tblCellMar>
            <w:top w:w="0" w:type="dxa"/>
            <w:left w:w="108" w:type="dxa"/>
            <w:bottom w:w="0" w:type="dxa"/>
            <w:right w:w="108" w:type="dxa"/>
          </w:tblCellMar>
        </w:tblPrEx>
        <w:trPr>
          <w:trHeight w:val="411" w:hRule="atLeast"/>
          <w:jc w:val="center"/>
        </w:trPr>
        <w:tc>
          <w:tcPr>
            <w:tcW w:w="221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557"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本级安排</w:t>
            </w:r>
          </w:p>
        </w:tc>
        <w:tc>
          <w:tcPr>
            <w:tcW w:w="3788"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1359.97</w:t>
            </w:r>
          </w:p>
        </w:tc>
      </w:tr>
      <w:tr>
        <w:tblPrEx>
          <w:tblCellMar>
            <w:top w:w="0" w:type="dxa"/>
            <w:left w:w="108" w:type="dxa"/>
            <w:bottom w:w="0" w:type="dxa"/>
            <w:right w:w="108" w:type="dxa"/>
          </w:tblCellMar>
        </w:tblPrEx>
        <w:trPr>
          <w:trHeight w:val="411" w:hRule="atLeast"/>
          <w:jc w:val="center"/>
        </w:trPr>
        <w:tc>
          <w:tcPr>
            <w:tcW w:w="221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5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其他资金（万元）</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w:t>
            </w:r>
          </w:p>
        </w:tc>
        <w:tc>
          <w:tcPr>
            <w:tcW w:w="3788"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462" w:hRule="atLeast"/>
          <w:jc w:val="center"/>
        </w:trPr>
        <w:tc>
          <w:tcPr>
            <w:tcW w:w="9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5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3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430" w:hRule="atLeast"/>
          <w:jc w:val="center"/>
        </w:trPr>
        <w:tc>
          <w:tcPr>
            <w:tcW w:w="9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履职效能</w:t>
            </w: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建立健康档案人数</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≥15675人</w:t>
            </w:r>
          </w:p>
        </w:tc>
        <w:tc>
          <w:tcPr>
            <w:tcW w:w="23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411" w:hRule="atLeast"/>
          <w:jc w:val="center"/>
        </w:trPr>
        <w:tc>
          <w:tcPr>
            <w:tcW w:w="98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57"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高血压患者管理人数</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≥1153人</w:t>
            </w:r>
          </w:p>
        </w:tc>
        <w:tc>
          <w:tcPr>
            <w:tcW w:w="23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544" w:hRule="atLeast"/>
          <w:jc w:val="center"/>
        </w:trPr>
        <w:tc>
          <w:tcPr>
            <w:tcW w:w="98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57"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糖尿病患者管理人数</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≥367人</w:t>
            </w:r>
          </w:p>
        </w:tc>
        <w:tc>
          <w:tcPr>
            <w:tcW w:w="23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544" w:hRule="atLeast"/>
          <w:jc w:val="center"/>
        </w:trPr>
        <w:tc>
          <w:tcPr>
            <w:tcW w:w="98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全民健康体检人数</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≥10557人</w:t>
            </w:r>
          </w:p>
        </w:tc>
        <w:tc>
          <w:tcPr>
            <w:tcW w:w="23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11" w:hRule="atLeast"/>
          <w:jc w:val="center"/>
        </w:trPr>
        <w:tc>
          <w:tcPr>
            <w:tcW w:w="98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实施国家基本药物制度村卫生室数量</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=8家</w:t>
            </w:r>
          </w:p>
        </w:tc>
        <w:tc>
          <w:tcPr>
            <w:tcW w:w="23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411" w:hRule="atLeast"/>
          <w:jc w:val="center"/>
        </w:trPr>
        <w:tc>
          <w:tcPr>
            <w:tcW w:w="98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村卫生室基本药物品种</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≥123种</w:t>
            </w:r>
          </w:p>
        </w:tc>
        <w:tc>
          <w:tcPr>
            <w:tcW w:w="23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12</w:t>
            </w:r>
          </w:p>
        </w:tc>
      </w:tr>
      <w:tr>
        <w:tblPrEx>
          <w:tblCellMar>
            <w:top w:w="0" w:type="dxa"/>
            <w:left w:w="108" w:type="dxa"/>
            <w:bottom w:w="0" w:type="dxa"/>
            <w:right w:w="108" w:type="dxa"/>
          </w:tblCellMar>
        </w:tblPrEx>
        <w:trPr>
          <w:trHeight w:val="411" w:hRule="atLeast"/>
          <w:jc w:val="center"/>
        </w:trPr>
        <w:tc>
          <w:tcPr>
            <w:tcW w:w="98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2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5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布病高危人群筛查人数</w:t>
            </w:r>
          </w:p>
        </w:tc>
        <w:tc>
          <w:tcPr>
            <w:tcW w:w="12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≥1000人</w:t>
            </w:r>
          </w:p>
        </w:tc>
        <w:tc>
          <w:tcPr>
            <w:tcW w:w="239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2023年度工作总结及2025年度工作计划</w:t>
            </w:r>
          </w:p>
        </w:tc>
        <w:tc>
          <w:tcPr>
            <w:tcW w:w="13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bl>
    <w:p>
      <w:pPr>
        <w:jc w:val="center"/>
        <w:rPr>
          <w:rFonts w:hint="eastAsia" w:ascii="宋体" w:hAnsi="宋体"/>
          <w:color w:val="auto"/>
          <w:sz w:val="18"/>
          <w:szCs w:val="18"/>
        </w:rPr>
      </w:pPr>
    </w:p>
    <w:p>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791" w:type="dxa"/>
        <w:jc w:val="center"/>
        <w:tblLayout w:type="autofit"/>
        <w:tblCellMar>
          <w:top w:w="0" w:type="dxa"/>
          <w:left w:w="108" w:type="dxa"/>
          <w:bottom w:w="0" w:type="dxa"/>
          <w:right w:w="108" w:type="dxa"/>
        </w:tblCellMar>
      </w:tblPr>
      <w:tblGrid>
        <w:gridCol w:w="994"/>
        <w:gridCol w:w="1474"/>
        <w:gridCol w:w="2449"/>
        <w:gridCol w:w="1014"/>
        <w:gridCol w:w="1052"/>
        <w:gridCol w:w="899"/>
        <w:gridCol w:w="880"/>
        <w:gridCol w:w="956"/>
        <w:gridCol w:w="1073"/>
      </w:tblGrid>
      <w:tr>
        <w:tblPrEx>
          <w:tblCellMar>
            <w:top w:w="0" w:type="dxa"/>
            <w:left w:w="108" w:type="dxa"/>
            <w:bottom w:w="0" w:type="dxa"/>
            <w:right w:w="108" w:type="dxa"/>
          </w:tblCellMar>
        </w:tblPrEx>
        <w:trPr>
          <w:trHeight w:val="653" w:hRule="atLeast"/>
          <w:jc w:val="center"/>
        </w:trPr>
        <w:tc>
          <w:tcPr>
            <w:tcW w:w="10791"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68" w:hRule="atLeast"/>
          <w:jc w:val="center"/>
        </w:trPr>
        <w:tc>
          <w:tcPr>
            <w:tcW w:w="10791"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515" w:hRule="atLeast"/>
          <w:jc w:val="center"/>
        </w:trPr>
        <w:tc>
          <w:tcPr>
            <w:tcW w:w="24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32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托克逊县伊拉湖镇中心卫生院</w:t>
            </w:r>
          </w:p>
        </w:tc>
      </w:tr>
      <w:tr>
        <w:tblPrEx>
          <w:tblCellMar>
            <w:top w:w="0" w:type="dxa"/>
            <w:left w:w="108" w:type="dxa"/>
            <w:bottom w:w="0" w:type="dxa"/>
            <w:right w:w="108" w:type="dxa"/>
          </w:tblCellMar>
        </w:tblPrEx>
        <w:trPr>
          <w:trHeight w:val="576" w:hRule="atLeast"/>
          <w:jc w:val="center"/>
        </w:trPr>
        <w:tc>
          <w:tcPr>
            <w:tcW w:w="24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515"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2024年县级中药传承发展补助资金（县级配套）</w:t>
            </w:r>
          </w:p>
        </w:tc>
        <w:tc>
          <w:tcPr>
            <w:tcW w:w="177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古丽米热</w:t>
            </w:r>
          </w:p>
        </w:tc>
      </w:tr>
      <w:tr>
        <w:tblPrEx>
          <w:tblCellMar>
            <w:top w:w="0" w:type="dxa"/>
            <w:left w:w="108" w:type="dxa"/>
            <w:bottom w:w="0" w:type="dxa"/>
            <w:right w:w="108" w:type="dxa"/>
          </w:tblCellMar>
        </w:tblPrEx>
        <w:trPr>
          <w:trHeight w:val="837" w:hRule="atLeast"/>
          <w:jc w:val="center"/>
        </w:trPr>
        <w:tc>
          <w:tcPr>
            <w:tcW w:w="24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4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8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02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265" w:hRule="atLeast"/>
          <w:jc w:val="center"/>
        </w:trPr>
        <w:tc>
          <w:tcPr>
            <w:tcW w:w="24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322"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根据《新疆维吾尔自治区关于开展优质服务基层活动的通知》及吐鲁番卫健委相关文件精神，通过为康复科采购中/高频电治疗设备等4台治疗设备，达到进一步提升我院的综合服务能力，切实改善医疗服务质量的目标。</w:t>
            </w:r>
          </w:p>
        </w:tc>
      </w:tr>
      <w:tr>
        <w:tblPrEx>
          <w:tblCellMar>
            <w:top w:w="0" w:type="dxa"/>
            <w:left w:w="108" w:type="dxa"/>
            <w:bottom w:w="0" w:type="dxa"/>
            <w:right w:w="108" w:type="dxa"/>
          </w:tblCellMar>
        </w:tblPrEx>
        <w:trPr>
          <w:trHeight w:val="532" w:hRule="atLeast"/>
          <w:jc w:val="center"/>
        </w:trPr>
        <w:tc>
          <w:tcPr>
            <w:tcW w:w="99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4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32" w:hRule="atLeast"/>
          <w:jc w:val="center"/>
        </w:trPr>
        <w:tc>
          <w:tcPr>
            <w:tcW w:w="9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473" w:type="dxa"/>
            <w:tcBorders>
              <w:top w:val="nil"/>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4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采购治疗设备数量</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=4台</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2" w:hRule="atLeast"/>
          <w:jc w:val="center"/>
        </w:trPr>
        <w:tc>
          <w:tcPr>
            <w:tcW w:w="994"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73"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4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政府采购率</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2" w:hRule="atLeast"/>
          <w:jc w:val="center"/>
        </w:trPr>
        <w:tc>
          <w:tcPr>
            <w:tcW w:w="994"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73"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4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治疗设备验收合格率</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100.00%</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2" w:hRule="atLeast"/>
          <w:jc w:val="center"/>
        </w:trPr>
        <w:tc>
          <w:tcPr>
            <w:tcW w:w="994"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7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4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设备采购完成及时率</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2" w:hRule="atLeast"/>
          <w:jc w:val="center"/>
        </w:trPr>
        <w:tc>
          <w:tcPr>
            <w:tcW w:w="994" w:type="dxa"/>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473" w:type="dxa"/>
            <w:tcBorders>
              <w:top w:val="nil"/>
              <w:left w:val="nil"/>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449"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设备采购平均成本控制数</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≤2.5万元/台</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32" w:hRule="atLeast"/>
          <w:jc w:val="center"/>
        </w:trPr>
        <w:tc>
          <w:tcPr>
            <w:tcW w:w="994"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473"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经济效益指标</w:t>
            </w:r>
          </w:p>
        </w:tc>
        <w:tc>
          <w:tcPr>
            <w:tcW w:w="2449"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设备利用率</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2" w:hRule="atLeast"/>
          <w:jc w:val="center"/>
        </w:trPr>
        <w:tc>
          <w:tcPr>
            <w:tcW w:w="994"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73"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449"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改善医疗服务质量</w:t>
            </w:r>
          </w:p>
        </w:tc>
        <w:tc>
          <w:tcPr>
            <w:tcW w:w="10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显著改善</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95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0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hint="eastAsia" w:ascii="宋体" w:hAnsi="宋体"/>
          <w:color w:val="auto"/>
          <w:sz w:val="18"/>
          <w:szCs w:val="18"/>
        </w:rPr>
      </w:pPr>
    </w:p>
    <w:p>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10646" w:type="dxa"/>
        <w:jc w:val="center"/>
        <w:tblLayout w:type="autofit"/>
        <w:tblCellMar>
          <w:top w:w="0" w:type="dxa"/>
          <w:left w:w="108" w:type="dxa"/>
          <w:bottom w:w="0" w:type="dxa"/>
          <w:right w:w="108" w:type="dxa"/>
        </w:tblCellMar>
      </w:tblPr>
      <w:tblGrid>
        <w:gridCol w:w="964"/>
        <w:gridCol w:w="1430"/>
        <w:gridCol w:w="2377"/>
        <w:gridCol w:w="1151"/>
        <w:gridCol w:w="1023"/>
        <w:gridCol w:w="872"/>
        <w:gridCol w:w="855"/>
        <w:gridCol w:w="1084"/>
        <w:gridCol w:w="890"/>
      </w:tblGrid>
      <w:tr>
        <w:tblPrEx>
          <w:tblCellMar>
            <w:top w:w="0" w:type="dxa"/>
            <w:left w:w="108" w:type="dxa"/>
            <w:bottom w:w="0" w:type="dxa"/>
            <w:right w:w="108" w:type="dxa"/>
          </w:tblCellMar>
        </w:tblPrEx>
        <w:trPr>
          <w:trHeight w:val="625" w:hRule="atLeast"/>
          <w:jc w:val="center"/>
        </w:trPr>
        <w:tc>
          <w:tcPr>
            <w:tcW w:w="10646"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52" w:hRule="atLeast"/>
          <w:jc w:val="center"/>
        </w:trPr>
        <w:tc>
          <w:tcPr>
            <w:tcW w:w="10646"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92" w:hRule="atLeast"/>
          <w:jc w:val="center"/>
        </w:trPr>
        <w:tc>
          <w:tcPr>
            <w:tcW w:w="2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25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托克逊县伊拉湖镇中心卫生院</w:t>
            </w:r>
          </w:p>
        </w:tc>
      </w:tr>
      <w:tr>
        <w:tblPrEx>
          <w:tblCellMar>
            <w:top w:w="0" w:type="dxa"/>
            <w:left w:w="108" w:type="dxa"/>
            <w:bottom w:w="0" w:type="dxa"/>
            <w:right w:w="108" w:type="dxa"/>
          </w:tblCellMar>
        </w:tblPrEx>
        <w:trPr>
          <w:trHeight w:val="551" w:hRule="atLeast"/>
          <w:jc w:val="center"/>
        </w:trPr>
        <w:tc>
          <w:tcPr>
            <w:tcW w:w="2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551"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2024年全民健康体检县级补助资金项目</w:t>
            </w:r>
          </w:p>
        </w:tc>
        <w:tc>
          <w:tcPr>
            <w:tcW w:w="17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970" w:type="dxa"/>
            <w:gridSpan w:val="2"/>
            <w:tcBorders>
              <w:top w:val="single" w:color="auto" w:sz="4" w:space="0"/>
              <w:left w:val="nil"/>
              <w:bottom w:val="single" w:color="auto"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古丽米热</w:t>
            </w:r>
          </w:p>
        </w:tc>
      </w:tr>
      <w:tr>
        <w:tblPrEx>
          <w:tblCellMar>
            <w:top w:w="0" w:type="dxa"/>
            <w:left w:w="108" w:type="dxa"/>
            <w:bottom w:w="0" w:type="dxa"/>
            <w:right w:w="108" w:type="dxa"/>
          </w:tblCellMar>
        </w:tblPrEx>
        <w:trPr>
          <w:trHeight w:val="802" w:hRule="atLeast"/>
          <w:jc w:val="center"/>
        </w:trPr>
        <w:tc>
          <w:tcPr>
            <w:tcW w:w="2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3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59.00</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59.00</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97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391" w:hRule="atLeast"/>
          <w:jc w:val="center"/>
        </w:trPr>
        <w:tc>
          <w:tcPr>
            <w:tcW w:w="2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25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按照“全面覆盖、免费提供、自愿参检、城乡均等、方便群众”的基本原则，分年度、有重点地对全县15-79岁的居民约10557人进行健康体检，购买体检专用材料5批，保障24名体检工作人员开展工作，全面掌握城乡居民健康状况，通过“早发现、早诊断、早治疗”、“未病先防、小病先治”，切实维护群众健康利益，保障群众健康水平。</w:t>
            </w:r>
          </w:p>
        </w:tc>
      </w:tr>
      <w:tr>
        <w:tblPrEx>
          <w:tblCellMar>
            <w:top w:w="0" w:type="dxa"/>
            <w:left w:w="108" w:type="dxa"/>
            <w:bottom w:w="0" w:type="dxa"/>
            <w:right w:w="108" w:type="dxa"/>
          </w:tblCellMar>
        </w:tblPrEx>
        <w:trPr>
          <w:trHeight w:val="509" w:hRule="atLeast"/>
          <w:jc w:val="center"/>
        </w:trPr>
        <w:tc>
          <w:tcPr>
            <w:tcW w:w="9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3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09" w:hRule="atLeast"/>
          <w:jc w:val="center"/>
        </w:trPr>
        <w:tc>
          <w:tcPr>
            <w:tcW w:w="9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43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3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15-79岁居民体检人数</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≥10557人</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377"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体检人员工作人数</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≥24人</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0"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377"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购买专用材料批数</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≥5批</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3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居民体检覆盖率</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0"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3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专用材料质量合格率</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3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全民健康体检项目按时完成率</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9" w:hRule="atLeast"/>
          <w:jc w:val="center"/>
        </w:trPr>
        <w:tc>
          <w:tcPr>
            <w:tcW w:w="9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43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3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体检工作人员补助支出</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≤29.80607万元</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2377"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办公业务费支出</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≤21.19393万元</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695" w:hRule="atLeast"/>
          <w:jc w:val="center"/>
        </w:trPr>
        <w:tc>
          <w:tcPr>
            <w:tcW w:w="96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23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专用材料费支出</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≤8万元</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09" w:hRule="atLeast"/>
          <w:jc w:val="center"/>
        </w:trPr>
        <w:tc>
          <w:tcPr>
            <w:tcW w:w="96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43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3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提高居民健康保健意识</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明显提高</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9" w:hRule="atLeast"/>
          <w:jc w:val="center"/>
        </w:trPr>
        <w:tc>
          <w:tcPr>
            <w:tcW w:w="965"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0"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23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提高早期发现疾病、干预疾病和控制疾病的能力</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有效提高</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09" w:hRule="atLeast"/>
          <w:jc w:val="center"/>
        </w:trPr>
        <w:tc>
          <w:tcPr>
            <w:tcW w:w="9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3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受益群众对体检机构的满意度</w:t>
            </w:r>
          </w:p>
        </w:tc>
        <w:tc>
          <w:tcPr>
            <w:tcW w:w="11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0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hint="eastAsia" w:ascii="宋体" w:hAnsi="宋体"/>
          <w:color w:val="auto"/>
          <w:sz w:val="18"/>
          <w:szCs w:val="18"/>
        </w:rPr>
      </w:pPr>
    </w:p>
    <w:p>
      <w:pPr>
        <w:widowControl/>
        <w:rPr>
          <w:rFonts w:hint="eastAsia" w:ascii="宋体" w:hAnsi="宋体"/>
          <w:color w:val="auto"/>
          <w:sz w:val="18"/>
          <w:szCs w:val="18"/>
        </w:rPr>
      </w:pPr>
      <w:r>
        <w:rPr>
          <w:rFonts w:ascii="宋体" w:hAnsi="宋体"/>
          <w:color w:val="auto"/>
          <w:sz w:val="18"/>
          <w:szCs w:val="18"/>
        </w:rPr>
        <w:br w:type="page"/>
      </w:r>
    </w:p>
    <w:tbl>
      <w:tblPr>
        <w:tblStyle w:val="4"/>
        <w:tblW w:w="10949" w:type="dxa"/>
        <w:jc w:val="center"/>
        <w:tblLayout w:type="autofit"/>
        <w:tblCellMar>
          <w:top w:w="0" w:type="dxa"/>
          <w:left w:w="108" w:type="dxa"/>
          <w:bottom w:w="0" w:type="dxa"/>
          <w:right w:w="108" w:type="dxa"/>
        </w:tblCellMar>
      </w:tblPr>
      <w:tblGrid>
        <w:gridCol w:w="951"/>
        <w:gridCol w:w="926"/>
        <w:gridCol w:w="2552"/>
        <w:gridCol w:w="1138"/>
        <w:gridCol w:w="1098"/>
        <w:gridCol w:w="907"/>
        <w:gridCol w:w="847"/>
        <w:gridCol w:w="1182"/>
        <w:gridCol w:w="1348"/>
      </w:tblGrid>
      <w:tr>
        <w:tblPrEx>
          <w:tblCellMar>
            <w:top w:w="0" w:type="dxa"/>
            <w:left w:w="108" w:type="dxa"/>
            <w:bottom w:w="0" w:type="dxa"/>
            <w:right w:w="108" w:type="dxa"/>
          </w:tblCellMar>
        </w:tblPrEx>
        <w:trPr>
          <w:trHeight w:val="349" w:hRule="atLeast"/>
          <w:jc w:val="center"/>
        </w:trPr>
        <w:tc>
          <w:tcPr>
            <w:tcW w:w="10949"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197" w:hRule="atLeast"/>
          <w:jc w:val="center"/>
        </w:trPr>
        <w:tc>
          <w:tcPr>
            <w:tcW w:w="10949"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553" w:hRule="atLeast"/>
          <w:jc w:val="center"/>
        </w:trPr>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907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托克逊县伊拉湖镇中心卫生院</w:t>
            </w:r>
          </w:p>
        </w:tc>
      </w:tr>
      <w:tr>
        <w:tblPrEx>
          <w:tblCellMar>
            <w:top w:w="0" w:type="dxa"/>
            <w:left w:w="108" w:type="dxa"/>
            <w:bottom w:w="0" w:type="dxa"/>
            <w:right w:w="108" w:type="dxa"/>
          </w:tblCellMar>
        </w:tblPrEx>
        <w:trPr>
          <w:trHeight w:val="544" w:hRule="atLeast"/>
          <w:jc w:val="center"/>
        </w:trPr>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788"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2024年基本公共卫生服务县级配套补助资金</w:t>
            </w:r>
          </w:p>
        </w:tc>
        <w:tc>
          <w:tcPr>
            <w:tcW w:w="17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53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古丽米热</w:t>
            </w:r>
          </w:p>
        </w:tc>
      </w:tr>
      <w:tr>
        <w:tblPrEx>
          <w:tblCellMar>
            <w:top w:w="0" w:type="dxa"/>
            <w:left w:w="108" w:type="dxa"/>
            <w:bottom w:w="0" w:type="dxa"/>
            <w:right w:w="108" w:type="dxa"/>
          </w:tblCellMar>
        </w:tblPrEx>
        <w:trPr>
          <w:trHeight w:val="448" w:hRule="atLeast"/>
          <w:jc w:val="center"/>
        </w:trPr>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5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13</w:t>
            </w:r>
            <w:r>
              <w:rPr>
                <w:rFonts w:hint="eastAsia" w:ascii="宋体" w:hAnsi="宋体" w:cs="宋体"/>
                <w:color w:val="auto"/>
                <w:kern w:val="0"/>
                <w:sz w:val="18"/>
                <w:szCs w:val="18"/>
              </w:rPr>
              <w:t>.00</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13</w:t>
            </w:r>
            <w:r>
              <w:rPr>
                <w:rFonts w:hint="eastAsia" w:ascii="宋体" w:hAnsi="宋体" w:cs="宋体"/>
                <w:color w:val="auto"/>
                <w:kern w:val="0"/>
                <w:sz w:val="18"/>
                <w:szCs w:val="18"/>
              </w:rPr>
              <w:t>.00</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253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656" w:hRule="atLeast"/>
          <w:jc w:val="center"/>
        </w:trPr>
        <w:tc>
          <w:tcPr>
            <w:tcW w:w="18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9072"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通过保障25名公卫及村医人员正常开展辖区居民健康管理和随访等各项基本公共卫生服务，购买8批专用材料，达到加强基层医疗卫生机构的建设和管理，提高医疗服务水平和质量，为公众提供更加便捷、规范、高效的医疗服务的目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目标2：通过建立电子健康档案15675人，对全县常住人口健康状况实施监控；提高基本公共卫生服务项目均等化水平，规范公共卫生服务行为；</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目标3：通过开展老年人健康管理1496人，对老年人的健康状况实施监控，保障老年人切身的利益；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目标4：通过开展高血压患者健康随访管理1153人，糖尿病患者健康随访管理367人，对患者用药情况和随访记录实施监控，达到推广健康生活方式和卫生知识，提高公众健康意识和卫生素养的目标。</w:t>
            </w:r>
          </w:p>
        </w:tc>
      </w:tr>
      <w:tr>
        <w:tblPrEx>
          <w:tblCellMar>
            <w:top w:w="0" w:type="dxa"/>
            <w:left w:w="108" w:type="dxa"/>
            <w:bottom w:w="0" w:type="dxa"/>
            <w:right w:w="108" w:type="dxa"/>
          </w:tblCellMar>
        </w:tblPrEx>
        <w:trPr>
          <w:trHeight w:val="285" w:hRule="atLeast"/>
          <w:jc w:val="center"/>
        </w:trPr>
        <w:tc>
          <w:tcPr>
            <w:tcW w:w="9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9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5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285" w:hRule="atLeast"/>
          <w:jc w:val="center"/>
        </w:trPr>
        <w:tc>
          <w:tcPr>
            <w:tcW w:w="9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926"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5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开展随访的公卫及村医人数</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≥25人</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552"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建立电子健康档案人数</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≥15675人</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552"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老年人健康管理人数</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≥1496人</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552"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高血压患者随访管理人数</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≥1153人</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552" w:type="dxa"/>
            <w:tcBorders>
              <w:top w:val="nil"/>
              <w:left w:val="nil"/>
              <w:bottom w:val="nil"/>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糖尿病患者随访管理人数</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≥367人</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62" w:hRule="atLeast"/>
          <w:jc w:val="center"/>
        </w:trPr>
        <w:tc>
          <w:tcPr>
            <w:tcW w:w="9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continue"/>
            <w:tcBorders>
              <w:top w:val="nil"/>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552"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购买专用材料批数</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≥8批</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4</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552"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老年人健康规范管理率</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552"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电子健康档案建档率</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≥99.77%</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552"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高血压患者规范管理率</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continue"/>
            <w:tcBorders>
              <w:top w:val="single" w:color="auto" w:sz="4" w:space="0"/>
              <w:left w:val="single" w:color="auto" w:sz="4" w:space="0"/>
              <w:bottom w:val="nil"/>
              <w:right w:val="single" w:color="auto" w:sz="4" w:space="0"/>
            </w:tcBorders>
            <w:vAlign w:val="center"/>
          </w:tcPr>
          <w:p>
            <w:pPr>
              <w:widowControl/>
              <w:jc w:val="center"/>
              <w:rPr>
                <w:rFonts w:hint="eastAsia" w:ascii="宋体" w:hAnsi="宋体" w:cs="宋体"/>
                <w:color w:val="auto"/>
                <w:kern w:val="0"/>
                <w:sz w:val="18"/>
                <w:szCs w:val="18"/>
              </w:rPr>
            </w:pPr>
          </w:p>
        </w:tc>
        <w:tc>
          <w:tcPr>
            <w:tcW w:w="2552"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糖尿病患者规范管理率</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55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年度工作计划完成及时率</w:t>
            </w:r>
          </w:p>
        </w:tc>
        <w:tc>
          <w:tcPr>
            <w:tcW w:w="11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≥95%</w:t>
            </w:r>
          </w:p>
        </w:tc>
        <w:tc>
          <w:tcPr>
            <w:tcW w:w="10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18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9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25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公卫人员及随访补助支出</w:t>
            </w:r>
          </w:p>
        </w:tc>
        <w:tc>
          <w:tcPr>
            <w:tcW w:w="113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≤13.7万元</w:t>
            </w:r>
          </w:p>
        </w:tc>
        <w:tc>
          <w:tcPr>
            <w:tcW w:w="10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8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285" w:hRule="atLeast"/>
          <w:jc w:val="center"/>
        </w:trPr>
        <w:tc>
          <w:tcPr>
            <w:tcW w:w="9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25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基本公卫办公业务费支出</w:t>
            </w:r>
          </w:p>
        </w:tc>
        <w:tc>
          <w:tcPr>
            <w:tcW w:w="113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≤11.3万元</w:t>
            </w:r>
          </w:p>
        </w:tc>
        <w:tc>
          <w:tcPr>
            <w:tcW w:w="10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7</w:t>
            </w:r>
          </w:p>
        </w:tc>
        <w:tc>
          <w:tcPr>
            <w:tcW w:w="118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238" w:hRule="atLeast"/>
          <w:jc w:val="center"/>
        </w:trPr>
        <w:tc>
          <w:tcPr>
            <w:tcW w:w="9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25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专用材料费支出</w:t>
            </w:r>
          </w:p>
        </w:tc>
        <w:tc>
          <w:tcPr>
            <w:tcW w:w="113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≤3万元</w:t>
            </w:r>
          </w:p>
        </w:tc>
        <w:tc>
          <w:tcPr>
            <w:tcW w:w="10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w:t>
            </w:r>
          </w:p>
        </w:tc>
        <w:tc>
          <w:tcPr>
            <w:tcW w:w="118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285" w:hRule="atLeast"/>
          <w:jc w:val="center"/>
        </w:trPr>
        <w:tc>
          <w:tcPr>
            <w:tcW w:w="9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9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255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居民健康保健意识知晓率</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0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8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3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255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城乡居民公共卫生服务差距</w:t>
            </w:r>
          </w:p>
        </w:tc>
        <w:tc>
          <w:tcPr>
            <w:tcW w:w="113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不断缩小</w:t>
            </w:r>
          </w:p>
        </w:tc>
        <w:tc>
          <w:tcPr>
            <w:tcW w:w="109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8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3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285" w:hRule="atLeast"/>
          <w:jc w:val="center"/>
        </w:trPr>
        <w:tc>
          <w:tcPr>
            <w:tcW w:w="9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9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552" w:type="dxa"/>
            <w:tcBorders>
              <w:top w:val="single" w:color="auto" w:sz="4" w:space="0"/>
              <w:left w:val="nil"/>
              <w:bottom w:val="single" w:color="000000" w:sz="4" w:space="0"/>
              <w:right w:val="single" w:color="000000"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辖区受益群众满意度</w:t>
            </w:r>
          </w:p>
        </w:tc>
        <w:tc>
          <w:tcPr>
            <w:tcW w:w="113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09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18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3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hint="eastAsia" w:ascii="宋体" w:hAnsi="宋体"/>
          <w:color w:val="auto"/>
          <w:sz w:val="18"/>
          <w:szCs w:val="18"/>
        </w:rPr>
      </w:pPr>
    </w:p>
    <w:p>
      <w:pPr>
        <w:widowControl/>
        <w:spacing w:line="560" w:lineRule="exact"/>
        <w:ind w:firstLine="630" w:firstLineChars="196"/>
        <w:jc w:val="left"/>
        <w:rPr>
          <w:rFonts w:hint="eastAsia" w:ascii="楷体_GB2312" w:hAnsi="宋体" w:eastAsia="楷体_GB2312" w:cs="宋体"/>
          <w:b/>
          <w:color w:val="auto"/>
          <w:kern w:val="0"/>
          <w:sz w:val="32"/>
          <w:szCs w:val="32"/>
        </w:rPr>
      </w:pPr>
      <w:r>
        <w:rPr>
          <w:rFonts w:ascii="楷体_GB2312" w:hAnsi="宋体" w:eastAsia="楷体_GB2312" w:cs="宋体"/>
          <w:b/>
          <w:color w:val="auto"/>
          <w:kern w:val="0"/>
          <w:sz w:val="32"/>
          <w:szCs w:val="32"/>
        </w:rPr>
        <w:br w:type="page"/>
      </w:r>
    </w:p>
    <w:tbl>
      <w:tblPr>
        <w:tblStyle w:val="4"/>
        <w:tblW w:w="10320" w:type="dxa"/>
        <w:jc w:val="center"/>
        <w:tblLayout w:type="autofit"/>
        <w:tblCellMar>
          <w:top w:w="0" w:type="dxa"/>
          <w:left w:w="108" w:type="dxa"/>
          <w:bottom w:w="0" w:type="dxa"/>
          <w:right w:w="108" w:type="dxa"/>
        </w:tblCellMar>
      </w:tblPr>
      <w:tblGrid>
        <w:gridCol w:w="971"/>
        <w:gridCol w:w="1087"/>
        <w:gridCol w:w="1787"/>
        <w:gridCol w:w="1206"/>
        <w:gridCol w:w="1077"/>
        <w:gridCol w:w="819"/>
        <w:gridCol w:w="819"/>
        <w:gridCol w:w="1069"/>
        <w:gridCol w:w="1485"/>
      </w:tblGrid>
      <w:tr>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00" w:hRule="atLeast"/>
          <w:jc w:val="center"/>
        </w:trPr>
        <w:tc>
          <w:tcPr>
            <w:tcW w:w="1032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10" w:hRule="atLeast"/>
          <w:jc w:val="center"/>
        </w:trPr>
        <w:tc>
          <w:tcPr>
            <w:tcW w:w="20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262"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托克逊县伊拉湖镇中心卫生院</w:t>
            </w:r>
          </w:p>
        </w:tc>
      </w:tr>
      <w:tr>
        <w:tblPrEx>
          <w:tblCellMar>
            <w:top w:w="0" w:type="dxa"/>
            <w:left w:w="108" w:type="dxa"/>
            <w:bottom w:w="0" w:type="dxa"/>
            <w:right w:w="108" w:type="dxa"/>
          </w:tblCellMar>
        </w:tblPrEx>
        <w:trPr>
          <w:trHeight w:val="410" w:hRule="atLeast"/>
          <w:jc w:val="center"/>
        </w:trPr>
        <w:tc>
          <w:tcPr>
            <w:tcW w:w="20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889"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2024年单位实有资金</w:t>
            </w:r>
          </w:p>
        </w:tc>
        <w:tc>
          <w:tcPr>
            <w:tcW w:w="188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485" w:type="dxa"/>
            <w:tcBorders>
              <w:top w:val="nil"/>
              <w:left w:val="nil"/>
              <w:bottom w:val="single" w:color="auto" w:sz="4" w:space="0"/>
              <w:right w:val="single" w:color="auto" w:sz="4" w:space="0"/>
            </w:tcBorders>
            <w:shd w:val="clear" w:color="auto" w:fill="auto"/>
            <w:noWrap/>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古丽米热</w:t>
            </w:r>
          </w:p>
        </w:tc>
      </w:tr>
      <w:tr>
        <w:tblPrEx>
          <w:tblCellMar>
            <w:top w:w="0" w:type="dxa"/>
            <w:left w:w="108" w:type="dxa"/>
            <w:bottom w:w="0" w:type="dxa"/>
            <w:right w:w="108" w:type="dxa"/>
          </w:tblCellMar>
        </w:tblPrEx>
        <w:trPr>
          <w:trHeight w:val="410" w:hRule="atLeast"/>
          <w:jc w:val="center"/>
        </w:trPr>
        <w:tc>
          <w:tcPr>
            <w:tcW w:w="20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570.52</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38"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570.52</w:t>
            </w:r>
          </w:p>
        </w:tc>
      </w:tr>
      <w:tr>
        <w:tblPrEx>
          <w:tblCellMar>
            <w:top w:w="0" w:type="dxa"/>
            <w:left w:w="108" w:type="dxa"/>
            <w:bottom w:w="0" w:type="dxa"/>
            <w:right w:w="108" w:type="dxa"/>
          </w:tblCellMar>
        </w:tblPrEx>
        <w:trPr>
          <w:trHeight w:val="1000" w:hRule="atLeast"/>
          <w:jc w:val="center"/>
        </w:trPr>
        <w:tc>
          <w:tcPr>
            <w:tcW w:w="205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262" w:type="dxa"/>
            <w:gridSpan w:val="7"/>
            <w:tcBorders>
              <w:top w:val="single" w:color="auto" w:sz="4" w:space="0"/>
              <w:left w:val="nil"/>
              <w:bottom w:val="single" w:color="auto" w:sz="4" w:space="0"/>
              <w:right w:val="single" w:color="000000" w:sz="4" w:space="0"/>
            </w:tcBorders>
            <w:shd w:val="clear" w:color="auto" w:fill="auto"/>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目标1：通过单位自有资金按时发放36名临聘人员工资，提高员工工作积极性。</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目标2：根据实际情况及时采购药品、医疗耗材、检测试剂3大类专用材料，保障医护人员服务质量，满足患者需求。</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目标3：全年门诊接待不少于67452人次，实行基本药物制度的药品不少于123种，确保我我镇居民提供优质的医疗服务，减轻患者病痛，改善居民健康状况。</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目标4：购置50台先进医疗检测专用设备，提高对患者诊断的准确率。</w:t>
            </w:r>
          </w:p>
        </w:tc>
      </w:tr>
      <w:tr>
        <w:tblPrEx>
          <w:tblCellMar>
            <w:top w:w="0" w:type="dxa"/>
            <w:left w:w="108" w:type="dxa"/>
            <w:bottom w:w="0" w:type="dxa"/>
            <w:right w:w="108" w:type="dxa"/>
          </w:tblCellMar>
        </w:tblPrEx>
        <w:trPr>
          <w:trHeight w:val="520" w:hRule="atLeast"/>
          <w:jc w:val="center"/>
        </w:trPr>
        <w:tc>
          <w:tcPr>
            <w:tcW w:w="97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8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00" w:hRule="atLeast"/>
          <w:jc w:val="center"/>
        </w:trPr>
        <w:tc>
          <w:tcPr>
            <w:tcW w:w="9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专用材料采购大类</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&gt;=3种</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临聘人员工作人数</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&gt;=36人</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实行基本药物制度的药品种类</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&gt;=123种</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全年门诊接待人次</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&gt;=67452人次</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专用设备购置数量</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&gt;=50台</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专用材料质量合格率</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专用设备验收合格率</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08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专用材料采购及时率</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&gt;=95%</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专用材料费支出</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&lt;=250万元</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综合办公费支出</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&lt;=180.51928万元</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劳务费支出</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&lt;=90万元</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087"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专用设备购置费</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&lt;=50万元</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8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经济效益指标</w:t>
            </w: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保障基层医疗服务，改善居民健康状况</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有效保障</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color w:val="auto"/>
                <w:kern w:val="0"/>
                <w:sz w:val="18"/>
                <w:szCs w:val="18"/>
              </w:rPr>
            </w:pPr>
          </w:p>
        </w:tc>
        <w:tc>
          <w:tcPr>
            <w:tcW w:w="108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提高患者诊断准确率</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有效提高</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7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8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787"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患者对服务满意度</w:t>
            </w:r>
          </w:p>
        </w:tc>
        <w:tc>
          <w:tcPr>
            <w:tcW w:w="120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107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485"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60" w:lineRule="exact"/>
        <w:ind w:firstLine="630" w:firstLineChars="196"/>
        <w:jc w:val="left"/>
        <w:rPr>
          <w:rFonts w:hint="eastAsia"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hint="eastAsia"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pPr>
        <w:widowControl/>
        <w:spacing w:line="520"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1.2024年我单位未安排面向中小企业预留政府采购项目预算；未安排小微企业预留政府采购项目预算。</w:t>
      </w:r>
    </w:p>
    <w:p>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2.本次未公开项目支出绩效目标表共有</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个，其中：</w:t>
      </w:r>
      <w:r>
        <w:rPr>
          <w:rFonts w:hint="eastAsia" w:ascii="仿宋_GB2312" w:hAnsi="宋体" w:eastAsia="仿宋_GB2312" w:cs="宋体"/>
          <w:color w:val="auto"/>
          <w:kern w:val="0"/>
          <w:sz w:val="32"/>
          <w:szCs w:val="32"/>
          <w:lang w:val="en-US" w:eastAsia="zh-CN"/>
        </w:rPr>
        <w:t>转移支付</w:t>
      </w:r>
      <w:r>
        <w:rPr>
          <w:rFonts w:hint="eastAsia" w:ascii="仿宋_GB2312" w:hAnsi="宋体" w:eastAsia="仿宋_GB2312" w:cs="宋体"/>
          <w:color w:val="auto"/>
          <w:kern w:val="0"/>
          <w:sz w:val="32"/>
          <w:szCs w:val="32"/>
        </w:rPr>
        <w:t>sm项目1个，涉及预算资金1.12万元；</w:t>
      </w:r>
      <w:r>
        <w:rPr>
          <w:rFonts w:hint="eastAsia" w:ascii="仿宋_GB2312" w:hAnsi="宋体" w:eastAsia="仿宋_GB2312" w:cs="宋体"/>
          <w:color w:val="auto"/>
          <w:kern w:val="0"/>
          <w:sz w:val="32"/>
          <w:szCs w:val="32"/>
          <w:lang w:val="en-US" w:eastAsia="zh-CN"/>
        </w:rPr>
        <w:t>转移支付项目1个，涉及预算资金15.00万元。</w:t>
      </w:r>
      <w:r>
        <w:rPr>
          <w:rFonts w:hint="eastAsia" w:ascii="仿宋_GB2312" w:hAnsi="宋体" w:eastAsia="仿宋_GB2312" w:cs="宋体"/>
          <w:color w:val="auto"/>
          <w:kern w:val="0"/>
          <w:sz w:val="32"/>
          <w:szCs w:val="32"/>
        </w:rPr>
        <w:t>根据规定、绩效目标表完全不予公开。</w:t>
      </w:r>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righ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托克逊县伊拉湖镇中心卫生院</w:t>
      </w:r>
    </w:p>
    <w:p>
      <w:pPr>
        <w:widowControl/>
        <w:spacing w:line="520" w:lineRule="exact"/>
        <w:jc w:val="right"/>
        <w:rPr>
          <w:rFonts w:hint="eastAsia"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347D8"/>
    <w:rsid w:val="00092008"/>
    <w:rsid w:val="000B5B5C"/>
    <w:rsid w:val="000E0D62"/>
    <w:rsid w:val="00117524"/>
    <w:rsid w:val="001310F7"/>
    <w:rsid w:val="00157C2A"/>
    <w:rsid w:val="001E4BEF"/>
    <w:rsid w:val="001F2DAB"/>
    <w:rsid w:val="00217B36"/>
    <w:rsid w:val="00250BB7"/>
    <w:rsid w:val="002A24AA"/>
    <w:rsid w:val="00314130"/>
    <w:rsid w:val="003D7C02"/>
    <w:rsid w:val="00436E20"/>
    <w:rsid w:val="00585AB0"/>
    <w:rsid w:val="00591B07"/>
    <w:rsid w:val="006545CA"/>
    <w:rsid w:val="009F2C7E"/>
    <w:rsid w:val="00A76C8F"/>
    <w:rsid w:val="00A836C6"/>
    <w:rsid w:val="00B31486"/>
    <w:rsid w:val="00B770C2"/>
    <w:rsid w:val="00C92323"/>
    <w:rsid w:val="00D1360D"/>
    <w:rsid w:val="00EF0819"/>
    <w:rsid w:val="00F44379"/>
    <w:rsid w:val="15F91400"/>
    <w:rsid w:val="1BCC502D"/>
    <w:rsid w:val="31133803"/>
    <w:rsid w:val="35962BB3"/>
    <w:rsid w:val="3CEA4F54"/>
    <w:rsid w:val="3DDC7F8B"/>
    <w:rsid w:val="47B16CDB"/>
    <w:rsid w:val="5DA261D6"/>
    <w:rsid w:val="61D32986"/>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C66A42-0C74-4B94-81AB-10BB639EA0DF}">
  <ds:schemaRefs/>
</ds:datastoreItem>
</file>

<file path=docProps/app.xml><?xml version="1.0" encoding="utf-8"?>
<Properties xmlns="http://schemas.openxmlformats.org/officeDocument/2006/extended-properties" xmlns:vt="http://schemas.openxmlformats.org/officeDocument/2006/docPropsVTypes">
  <Template>Normal.dotm</Template>
  <Pages>36</Pages>
  <Words>2018</Words>
  <Characters>2474</Characters>
  <Lines>130</Lines>
  <Paragraphs>36</Paragraphs>
  <TotalTime>14</TotalTime>
  <ScaleCrop>false</ScaleCrop>
  <LinksUpToDate>false</LinksUpToDate>
  <CharactersWithSpaces>2534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2025-08-12T05:07:20Z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E5B36E601E324A7D9A9721DFCF715213_13</vt:lpwstr>
  </property>
  <property fmtid="{D5CDD505-2E9C-101B-9397-08002B2CF9AE}" pid="4" name="KSOTemplateDocerSaveRecord">
    <vt:lpwstr>eyJoZGlkIjoiMTcwMGY5N2M4YzI3ODdkZTMzOGFhZTcwMTk4MTdlMjAiLCJ1c2VySWQiOiI0OTQ1NzM3OTEifQ==</vt:lpwstr>
  </property>
</Properties>
</file>